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after="0" w:line="240" w:lineRule="auto"/>
        <w:ind w:firstLine="360"/>
        <w:rPr>
          <w:rFonts w:ascii="Century Gothic" w:cs="Times New Roman" w:eastAsia="Times New Roman" w:hAnsi="Century Gothic"/>
          <w:b/>
          <w:bCs/>
          <w:color w:val="ff00ff"/>
          <w:sz w:val="36"/>
          <w:szCs w:val="36"/>
        </w:rPr>
      </w:pPr>
      <w:r>
        <w:rPr>
          <w:rFonts w:ascii="Century Gothic" w:cs="Times New Roman" w:eastAsia="Times New Roman" w:hAnsi="Century Gothic"/>
          <w:b/>
          <w:bCs/>
          <w:color w:val="ff00ff"/>
          <w:sz w:val="36"/>
          <w:szCs w:val="36"/>
        </w:rPr>
        <w:drawing xmlns:mc="http://schemas.openxmlformats.org/markup-compatibility/2006">
          <wp:anchor allowOverlap="1" behindDoc="0" distT="0" distB="0" distL="114300" distR="114300" layoutInCell="1" locked="0" relativeHeight="251658240" simplePos="0">
            <wp:simplePos x="0" y="0"/>
            <wp:positionH relativeFrom="margin">
              <wp:posOffset>7978140</wp:posOffset>
            </wp:positionH>
            <wp:positionV relativeFrom="margin">
              <wp:posOffset>-374015</wp:posOffset>
            </wp:positionV>
            <wp:extent cx="2007870" cy="1825625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945" t="2279" r="21145" b="22526"/>
                    <a:stretch/>
                  </pic:blipFill>
                  <pic:spPr>
                    <a:xfrm>
                      <a:off x="0" y="0"/>
                      <a:ext cx="2007870" cy="182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rFonts w:ascii="Century Gothic" w:cs="Times New Roman" w:eastAsia="Times New Roman" w:hAnsi="Century Gothic"/>
          <w:b/>
          <w:bCs/>
          <w:color w:val="ff00ff"/>
          <w:sz w:val="36"/>
          <w:szCs w:val="36"/>
        </w:rPr>
        <w:t>МУЗЫКАЛЬНОЕ ВОСПИТАНИЕ ДОШКОЛЬНИКОВ</w:t>
      </w:r>
    </w:p>
    <w:p w14:paraId="00000002">
      <w:pPr>
        <w:spacing w:after="0" w:line="240" w:lineRule="auto"/>
        <w:ind w:firstLine="360"/>
        <w:rPr>
          <w:rFonts w:ascii="Century Gothic" w:cs="Times New Roman" w:eastAsia="Times New Roman" w:hAnsi="Century Gothic"/>
          <w:b/>
          <w:bCs/>
          <w:color w:val="ff00ff"/>
          <w:sz w:val="32"/>
          <w:szCs w:val="32"/>
        </w:rPr>
      </w:pPr>
      <w:r>
        <w:rPr>
          <w:rFonts w:ascii="Century Gothic" w:cs="Times New Roman" w:eastAsia="Times New Roman" w:hAnsi="Century Gothic"/>
          <w:b/>
          <w:bCs/>
          <w:color w:val="ff00ff"/>
          <w:sz w:val="32"/>
          <w:szCs w:val="32"/>
        </w:rPr>
        <w:drawing xmlns:mc="http://schemas.openxmlformats.org/markup-compatibility/2006">
          <wp:anchor allowOverlap="1" behindDoc="0" distT="0" distB="0" distL="114300" distR="114300" layoutInCell="1" locked="0" relativeHeight="251659264" simplePos="0">
            <wp:simplePos x="0" y="0"/>
            <wp:positionH relativeFrom="margin">
              <wp:posOffset>2646045</wp:posOffset>
            </wp:positionH>
            <wp:positionV relativeFrom="margin">
              <wp:posOffset>424815</wp:posOffset>
            </wp:positionV>
            <wp:extent cx="4146550" cy="2846705"/>
            <wp:effectExtent l="0" t="0" r="0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284670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14:paraId="00000003">
      <w:pPr>
        <w:spacing w:after="0"/>
        <w:ind w:firstLine="360"/>
        <w:rPr>
          <w:rFonts w:ascii="Century Gothic" w:cs="AngsanaUPC" w:eastAsia="Times New Roman" w:hAnsi="Century Gothic"/>
          <w:b/>
          <w:color w:val="0000ff"/>
          <w:sz w:val="28"/>
          <w:szCs w:val="28"/>
        </w:rPr>
      </w:pPr>
      <w:r>
        <w:rPr>
          <w:rFonts w:ascii="Century Gothic" w:cs="AngsanaUPC" w:eastAsia="Times New Roman" w:hAnsi="Century Gothic"/>
          <w:b/>
          <w:color w:val="0000ff"/>
          <w:sz w:val="28"/>
          <w:szCs w:val="28"/>
        </w:rPr>
        <w:t>Основой теории </w:t>
      </w:r>
      <w:r>
        <w:rPr>
          <w:rFonts w:ascii="Century Gothic" w:cs="AngsanaUPC" w:eastAsia="Times New Roman" w:hAnsi="Century Gothic"/>
          <w:b/>
          <w:bCs/>
          <w:color w:val="0000ff"/>
          <w:sz w:val="28"/>
          <w:szCs w:val="28"/>
        </w:rPr>
        <w:t>музыкального воспитания</w:t>
      </w:r>
      <w:r>
        <w:rPr>
          <w:rFonts w:ascii="Century Gothic" w:cs="AngsanaUPC" w:eastAsia="Times New Roman" w:hAnsi="Century Gothic"/>
          <w:b/>
          <w:color w:val="0000ff"/>
          <w:sz w:val="28"/>
          <w:szCs w:val="28"/>
        </w:rPr>
        <w:t> детей являются огромные познавательные и </w:t>
      </w:r>
      <w:r>
        <w:rPr>
          <w:rFonts w:ascii="Century Gothic" w:cs="AngsanaUPC" w:eastAsia="Times New Roman" w:hAnsi="Century Gothic"/>
          <w:b/>
          <w:bCs/>
          <w:color w:val="0000ff"/>
          <w:sz w:val="28"/>
          <w:szCs w:val="28"/>
        </w:rPr>
        <w:t>воспитательные возможности музыкального искусства</w:t>
      </w:r>
      <w:r>
        <w:rPr>
          <w:rFonts w:ascii="Century Gothic" w:cs="AngsanaUPC" w:eastAsia="Times New Roman" w:hAnsi="Century Gothic"/>
          <w:b/>
          <w:color w:val="0000ff"/>
          <w:sz w:val="28"/>
          <w:szCs w:val="28"/>
        </w:rPr>
        <w:t>. Впечатления детства глубоки и сильны, порой неизгладимы; использование </w:t>
      </w:r>
      <w:r>
        <w:rPr>
          <w:rFonts w:ascii="Century Gothic" w:cs="AngsanaUPC" w:eastAsia="Times New Roman" w:hAnsi="Century Gothic"/>
          <w:b/>
          <w:bCs/>
          <w:color w:val="0000ff"/>
          <w:sz w:val="28"/>
          <w:szCs w:val="28"/>
        </w:rPr>
        <w:t>музыкального</w:t>
      </w:r>
      <w:r>
        <w:rPr>
          <w:rFonts w:ascii="Century Gothic" w:cs="AngsanaUPC" w:eastAsia="Times New Roman" w:hAnsi="Century Gothic"/>
          <w:b/>
          <w:color w:val="0000ff"/>
          <w:sz w:val="28"/>
          <w:szCs w:val="28"/>
        </w:rPr>
        <w:t> искусства для углубления этих впечатлений - вот важная задача, которую стремятся осуществить педагоги в процессе </w:t>
      </w:r>
      <w:r>
        <w:rPr>
          <w:rFonts w:ascii="Century Gothic" w:cs="AngsanaUPC" w:eastAsia="Times New Roman" w:hAnsi="Century Gothic"/>
          <w:b/>
          <w:bCs/>
          <w:color w:val="0000ff"/>
          <w:sz w:val="28"/>
          <w:szCs w:val="28"/>
        </w:rPr>
        <w:t>воспитания детей дошкольного возраста</w:t>
      </w:r>
      <w:r>
        <w:rPr>
          <w:rFonts w:ascii="Century Gothic" w:cs="AngsanaUPC" w:eastAsia="Times New Roman" w:hAnsi="Century Gothic"/>
          <w:b/>
          <w:color w:val="0000ff"/>
          <w:sz w:val="28"/>
          <w:szCs w:val="28"/>
        </w:rPr>
        <w:t xml:space="preserve">. </w:t>
      </w:r>
      <w:r>
        <w:rPr>
          <w:rFonts w:ascii="Century Gothic" w:cs="AngsanaUPC" w:eastAsia="Times New Roman" w:hAnsi="Century Gothic"/>
          <w:b/>
          <w:bCs/>
          <w:color w:val="0000ff"/>
          <w:sz w:val="28"/>
          <w:szCs w:val="28"/>
        </w:rPr>
        <w:t xml:space="preserve">Музыка - </w:t>
      </w:r>
      <w:r>
        <w:rPr>
          <w:rFonts w:ascii="Century Gothic" w:cs="AngsanaUPC" w:eastAsia="Times New Roman" w:hAnsi="Century Gothic"/>
          <w:b/>
          <w:color w:val="0000ff"/>
          <w:sz w:val="28"/>
          <w:szCs w:val="28"/>
        </w:rPr>
        <w:t> это средство эмоционально-образного познания ребенком окружающей жизни, формирование его личности. Детский сад не ставит перед собой задачу </w:t>
      </w:r>
      <w:r>
        <w:rPr>
          <w:rFonts w:ascii="Century Gothic" w:cs="AngsanaUPC" w:eastAsia="Times New Roman" w:hAnsi="Century Gothic"/>
          <w:b/>
          <w:bCs/>
          <w:color w:val="0000ff"/>
          <w:sz w:val="28"/>
          <w:szCs w:val="28"/>
        </w:rPr>
        <w:t>воспитания</w:t>
      </w:r>
      <w:r>
        <w:rPr>
          <w:rFonts w:ascii="Century Gothic" w:cs="AngsanaUPC" w:eastAsia="Times New Roman" w:hAnsi="Century Gothic"/>
          <w:b/>
          <w:color w:val="0000ff"/>
          <w:sz w:val="28"/>
          <w:szCs w:val="28"/>
        </w:rPr>
        <w:t> будущих исполнителей-профессионалов. Его цели – </w:t>
      </w:r>
      <w:r>
        <w:rPr>
          <w:rFonts w:ascii="Century Gothic" w:cs="AngsanaUPC" w:eastAsia="Times New Roman" w:hAnsi="Century Gothic"/>
          <w:b/>
          <w:bCs/>
          <w:color w:val="0000ff"/>
          <w:sz w:val="28"/>
          <w:szCs w:val="28"/>
        </w:rPr>
        <w:t>воспитывать средствами музыкального</w:t>
      </w:r>
      <w:r>
        <w:rPr>
          <w:rFonts w:ascii="Century Gothic" w:cs="AngsanaUPC" w:eastAsia="Times New Roman" w:hAnsi="Century Gothic"/>
          <w:b/>
          <w:color w:val="0000ff"/>
          <w:sz w:val="28"/>
          <w:szCs w:val="28"/>
        </w:rPr>
        <w:t> искусства чувства ребенка, его характер и волю, способствовать тому, чтобы </w:t>
      </w:r>
      <w:r>
        <w:rPr>
          <w:rFonts w:ascii="Century Gothic" w:cs="AngsanaUPC" w:eastAsia="Times New Roman" w:hAnsi="Century Gothic"/>
          <w:b/>
          <w:bCs/>
          <w:color w:val="0000ff"/>
          <w:sz w:val="28"/>
          <w:szCs w:val="28"/>
        </w:rPr>
        <w:t>музыка</w:t>
      </w:r>
      <w:r>
        <w:rPr>
          <w:rFonts w:ascii="Century Gothic" w:cs="AngsanaUPC" w:eastAsia="Times New Roman" w:hAnsi="Century Gothic"/>
          <w:b/>
          <w:color w:val="0000ff"/>
          <w:sz w:val="28"/>
          <w:szCs w:val="28"/>
        </w:rPr>
        <w:t> проникала в его душу, вызывала ответную эмоциональную реакцию, живое осмысленное отношение к окружающей действительности, глубоко связывала его с ней. Познание мира через художественный </w:t>
      </w:r>
      <w:r>
        <w:rPr>
          <w:rFonts w:ascii="Century Gothic" w:cs="AngsanaUPC" w:eastAsia="Times New Roman" w:hAnsi="Century Gothic"/>
          <w:b/>
          <w:bCs/>
          <w:color w:val="0000ff"/>
          <w:sz w:val="28"/>
          <w:szCs w:val="28"/>
        </w:rPr>
        <w:t>музыкальный</w:t>
      </w:r>
      <w:r>
        <w:rPr>
          <w:rFonts w:ascii="Century Gothic" w:cs="AngsanaUPC" w:eastAsia="Times New Roman" w:hAnsi="Century Gothic"/>
          <w:b/>
          <w:color w:val="0000ff"/>
          <w:sz w:val="28"/>
          <w:szCs w:val="28"/>
        </w:rPr>
        <w:t> образ обогащает личность ребенка, способствует всестороннему развитию и формированию его мировоззрения. Поэтому каждое </w:t>
      </w:r>
      <w:r>
        <w:rPr>
          <w:rFonts w:ascii="Century Gothic" w:cs="AngsanaUPC" w:eastAsia="Times New Roman" w:hAnsi="Century Gothic"/>
          <w:b/>
          <w:bCs/>
          <w:color w:val="0000ff"/>
          <w:sz w:val="28"/>
          <w:szCs w:val="28"/>
        </w:rPr>
        <w:t>музыкально-художественное впечатление</w:t>
      </w:r>
      <w:r>
        <w:rPr>
          <w:rFonts w:ascii="Century Gothic" w:cs="AngsanaUPC" w:eastAsia="Times New Roman" w:hAnsi="Century Gothic"/>
          <w:b/>
          <w:color w:val="0000ff"/>
          <w:sz w:val="28"/>
          <w:szCs w:val="28"/>
        </w:rPr>
        <w:t>, каждый </w:t>
      </w:r>
      <w:r>
        <w:rPr>
          <w:rFonts w:ascii="Century Gothic" w:cs="AngsanaUPC" w:eastAsia="Times New Roman" w:hAnsi="Century Gothic"/>
          <w:b/>
          <w:bCs/>
          <w:color w:val="0000ff"/>
          <w:sz w:val="28"/>
          <w:szCs w:val="28"/>
        </w:rPr>
        <w:t>музыкально-художественный</w:t>
      </w:r>
      <w:r>
        <w:rPr>
          <w:rFonts w:ascii="Century Gothic" w:cs="AngsanaUPC" w:eastAsia="Times New Roman" w:hAnsi="Century Gothic"/>
          <w:b/>
          <w:color w:val="0000ff"/>
          <w:sz w:val="28"/>
          <w:szCs w:val="28"/>
        </w:rPr>
        <w:t> образ должны помимо своего эстетического назначения служить делу ознакомления ребенка с явлениями окружающей его жизни. Отсюда</w:t>
      </w:r>
      <w:r>
        <w:rPr>
          <w:rFonts w:ascii="Century Gothic" w:cs="AngsanaUPC" w:eastAsia="Times New Roman" w:hAnsi="Century Gothic"/>
          <w:b/>
          <w:color w:val="0000ff"/>
          <w:sz w:val="28"/>
          <w:szCs w:val="28"/>
        </w:rPr>
        <w:t>,</w:t>
      </w:r>
      <w:r>
        <w:rPr>
          <w:rFonts w:ascii="Century Gothic" w:cs="AngsanaUPC" w:eastAsia="Times New Roman" w:hAnsi="Century Gothic"/>
          <w:b/>
          <w:color w:val="0000ff"/>
          <w:sz w:val="28"/>
          <w:szCs w:val="28"/>
        </w:rPr>
        <w:t> </w:t>
      </w:r>
      <w:r>
        <w:rPr>
          <w:rFonts w:ascii="Century Gothic" w:cs="AngsanaUPC" w:eastAsia="Times New Roman" w:hAnsi="Century Gothic"/>
          <w:b/>
          <w:bCs/>
          <w:color w:val="0000ff"/>
          <w:sz w:val="28"/>
          <w:szCs w:val="28"/>
        </w:rPr>
        <w:t>музыкальное воспитание</w:t>
      </w:r>
      <w:r>
        <w:rPr>
          <w:rFonts w:ascii="Century Gothic" w:cs="AngsanaUPC" w:eastAsia="Times New Roman" w:hAnsi="Century Gothic"/>
          <w:b/>
          <w:color w:val="0000ff"/>
          <w:sz w:val="28"/>
          <w:szCs w:val="28"/>
        </w:rPr>
        <w:t> подрастающего поколения в нашей стране понимается</w:t>
      </w:r>
      <w:r>
        <w:rPr>
          <w:rFonts w:ascii="Century Gothic" w:cs="AngsanaUPC" w:eastAsia="Times New Roman" w:hAnsi="Century Gothic"/>
          <w:b/>
          <w:color w:val="0000ff"/>
          <w:sz w:val="28"/>
          <w:szCs w:val="28"/>
        </w:rPr>
        <w:t>,</w:t>
      </w:r>
      <w:r>
        <w:rPr>
          <w:rFonts w:ascii="Century Gothic" w:cs="AngsanaUPC" w:eastAsia="Times New Roman" w:hAnsi="Century Gothic"/>
          <w:b/>
          <w:color w:val="0000ff"/>
          <w:sz w:val="28"/>
          <w:szCs w:val="28"/>
        </w:rPr>
        <w:t xml:space="preserve"> как процесс передачи ему общественно-исторического опыта </w:t>
      </w:r>
      <w:r>
        <w:rPr>
          <w:rFonts w:ascii="Century Gothic" w:cs="AngsanaUPC" w:eastAsia="Times New Roman" w:hAnsi="Century Gothic"/>
          <w:b/>
          <w:bCs/>
          <w:color w:val="0000ff"/>
          <w:sz w:val="28"/>
          <w:szCs w:val="28"/>
        </w:rPr>
        <w:t>музыкальной</w:t>
      </w:r>
      <w:r>
        <w:rPr>
          <w:rFonts w:ascii="Century Gothic" w:cs="AngsanaUPC" w:eastAsia="Times New Roman" w:hAnsi="Century Gothic"/>
          <w:b/>
          <w:color w:val="0000ff"/>
          <w:sz w:val="28"/>
          <w:szCs w:val="28"/>
        </w:rPr>
        <w:t> деятельности</w:t>
      </w:r>
      <w:r>
        <w:rPr>
          <w:rFonts w:ascii="Century Gothic" w:cs="AngsanaUPC" w:eastAsia="Times New Roman" w:hAnsi="Century Gothic"/>
          <w:b/>
          <w:color w:val="0000ff"/>
          <w:sz w:val="28"/>
          <w:szCs w:val="28"/>
        </w:rPr>
        <w:t>,</w:t>
      </w:r>
      <w:r>
        <w:rPr>
          <w:rFonts w:ascii="Century Gothic" w:cs="AngsanaUPC" w:eastAsia="Times New Roman" w:hAnsi="Century Gothic"/>
          <w:b/>
          <w:color w:val="0000ff"/>
          <w:sz w:val="28"/>
          <w:szCs w:val="28"/>
        </w:rPr>
        <w:t xml:space="preserve"> с целью его подготовки к будущей работе во всех областях жизни.</w:t>
      </w:r>
      <w:r>
        <w:rPr>
          <w:rFonts w:ascii="Century Gothic" w:cs="AngsanaUPC" w:eastAsia="Times New Roman" w:hAnsi="Century Gothic"/>
          <w:b/>
          <w:color w:val="0000ff"/>
          <w:sz w:val="28"/>
          <w:szCs w:val="28"/>
        </w:rPr>
        <w:br w:type="textWrapping"/>
      </w:r>
    </w:p>
    <w:p w14:paraId="00000004">
      <w:pPr>
        <w:rPr>
          <w:rFonts w:ascii="Century Gothic" w:cs="AngsanaUPC" w:hAnsi="Century Gothic"/>
          <w:b/>
          <w:color w:val="0000ff"/>
          <w:sz w:val="28"/>
          <w:szCs w:val="28"/>
        </w:rPr>
      </w:pPr>
      <w:r>
        <w:rPr>
          <w:rFonts w:ascii="Century Gothic" w:cs="AngsanaUPC" w:hAnsi="Century Gothic"/>
          <w:b/>
          <w:color w:val="0000ff"/>
          <w:sz w:val="28"/>
          <w:szCs w:val="28"/>
        </w:rPr>
        <w:t xml:space="preserve"> </w:t>
      </w:r>
      <w:r>
        <w:rPr>
          <w:rFonts w:ascii="Century Gothic" w:cs="AngsanaUPC" w:hAnsi="Century Gothic"/>
          <w:b/>
          <w:color w:val="0000ff"/>
          <w:sz w:val="28"/>
          <w:szCs w:val="28"/>
        </w:rPr>
        <w:t xml:space="preserve">                       </w:t>
      </w:r>
      <w:r>
        <w:rPr>
          <w:rFonts w:ascii="Century Gothic" w:cs="AngsanaUPC" w:hAnsi="Century Gothic"/>
          <w:b/>
          <w:color w:val="0000ff"/>
          <w:sz w:val="28"/>
          <w:szCs w:val="28"/>
        </w:rPr>
        <w:t xml:space="preserve"> Подготовила  музыкальный руководитель  Маргарян Л.М.</w:t>
      </w:r>
    </w:p>
    <w:sectPr>
      <w:pgSz w:w="11906" w:h="16838"/>
      <w:pgMar w:top="720" w:right="720" w:bottom="720" w:left="720" w:header="708" w:footer="708" w:gutter="0"/>
      <w:pgBorders w:display="allPages" w:offsetFrom="page" w:zOrder="front">
        <w:top w:val="single" w:color="ff00ff" w:sz="4" w:space="24"/>
        <w:left w:val="single" w:color="ff00ff" w:sz="4" w:space="24"/>
        <w:right w:val="single" w:color="ff00ff" w:sz="4" w:space="24"/>
        <w:bottom w:val="single" w:color="ff00ff" w:sz="4" w:space="24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255D"/>
    <w:rsid w:val="00064690"/>
    <w:rsid w:val="00214B4A"/>
    <w:rsid w:val="0036323C"/>
    <w:rsid w:val="0037477A"/>
    <w:rsid w:val="004A77D2"/>
    <w:rsid w:val="004E255D"/>
    <w:rsid w:val="00551D8F"/>
    <w:rsid w:val="00627AB9"/>
    <w:rsid w:val="00640B01"/>
    <w:rsid w:val="008305DD"/>
    <w:rsid w:val="00880EB8"/>
    <w:rsid w:val="008D0B2F"/>
    <w:rsid w:val="00A05E5A"/>
    <w:rsid w:val="00C20F90"/>
    <w:rsid w:val="00DA21EB"/>
    <w:rsid w:val="00DF7052"/>
    <w:rsid w:val="00F8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860250</dc:creator>
  <cp:lastModifiedBy>LUSINE MARGARYAN</cp:lastModifiedBy>
</cp:coreProperties>
</file>